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D00A9" w14:textId="48AD2AD9" w:rsidR="00A169F1" w:rsidRDefault="005B7891" w:rsidP="00A169F1">
      <w:pPr>
        <w:spacing w:after="0"/>
        <w:rPr>
          <w:rFonts w:ascii="Arial Black" w:hAnsi="Arial Black" w:cstheme="minorHAnsi"/>
          <w:b/>
          <w:color w:val="000000" w:themeColor="text1"/>
          <w:sz w:val="36"/>
          <w:szCs w:val="36"/>
        </w:rPr>
      </w:pPr>
      <w:r>
        <w:rPr>
          <w:rFonts w:ascii="Arial Black" w:hAnsi="Arial Black" w:cstheme="minorHAnsi"/>
          <w:b/>
          <w:color w:val="000000" w:themeColor="text1"/>
          <w:sz w:val="36"/>
          <w:szCs w:val="36"/>
        </w:rPr>
        <w:t xml:space="preserve">DRAFT - </w:t>
      </w:r>
      <w:r w:rsidR="00D10CB0">
        <w:rPr>
          <w:rFonts w:ascii="Arial Black" w:hAnsi="Arial Black" w:cstheme="minorHAnsi"/>
          <w:b/>
          <w:color w:val="000000" w:themeColor="text1"/>
          <w:sz w:val="36"/>
          <w:szCs w:val="36"/>
        </w:rPr>
        <w:t>Commute Trip Reduction Program – Recommendations for Worksite Exemptions</w:t>
      </w:r>
    </w:p>
    <w:p w14:paraId="6B35FAA7" w14:textId="77777777" w:rsidR="000546D3" w:rsidRPr="000546D3" w:rsidRDefault="000546D3" w:rsidP="00A169F1">
      <w:pPr>
        <w:spacing w:after="0"/>
        <w:rPr>
          <w:rFonts w:ascii="Arial Black" w:hAnsi="Arial Black" w:cstheme="minorHAnsi"/>
          <w:b/>
          <w:color w:val="000000" w:themeColor="text1"/>
          <w:sz w:val="16"/>
          <w:szCs w:val="36"/>
        </w:rPr>
      </w:pPr>
    </w:p>
    <w:p w14:paraId="581F3FF7" w14:textId="605374BC" w:rsidR="00AA7E31" w:rsidRPr="00AE48E2" w:rsidRDefault="00AA7E31" w:rsidP="000256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A7E31">
        <w:rPr>
          <w:rFonts w:ascii="Times New Roman" w:hAnsi="Times New Roman" w:cs="Times New Roman"/>
          <w:sz w:val="24"/>
          <w:szCs w:val="24"/>
        </w:rPr>
        <w:t>Th</w:t>
      </w:r>
      <w:r w:rsidR="00CD5811">
        <w:rPr>
          <w:rFonts w:ascii="Times New Roman" w:hAnsi="Times New Roman" w:cs="Times New Roman"/>
          <w:sz w:val="24"/>
          <w:szCs w:val="24"/>
        </w:rPr>
        <w:t>is</w:t>
      </w:r>
      <w:r w:rsidRPr="00AA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="00CD5811">
        <w:rPr>
          <w:rFonts w:ascii="Times New Roman" w:hAnsi="Times New Roman" w:cs="Times New Roman"/>
          <w:sz w:val="24"/>
          <w:szCs w:val="24"/>
        </w:rPr>
        <w:t xml:space="preserve">provides </w:t>
      </w:r>
      <w:r w:rsidR="00A276D9">
        <w:rPr>
          <w:rFonts w:ascii="Times New Roman" w:hAnsi="Times New Roman" w:cs="Times New Roman"/>
          <w:sz w:val="24"/>
          <w:szCs w:val="24"/>
        </w:rPr>
        <w:t>recommendation</w:t>
      </w:r>
      <w:r w:rsidR="00CD5811">
        <w:rPr>
          <w:rFonts w:ascii="Times New Roman" w:hAnsi="Times New Roman" w:cs="Times New Roman"/>
          <w:sz w:val="24"/>
          <w:szCs w:val="24"/>
        </w:rPr>
        <w:t>s</w:t>
      </w:r>
      <w:r w:rsidR="00A276D9">
        <w:rPr>
          <w:rFonts w:ascii="Times New Roman" w:hAnsi="Times New Roman" w:cs="Times New Roman"/>
          <w:sz w:val="24"/>
          <w:szCs w:val="24"/>
        </w:rPr>
        <w:t xml:space="preserve"> </w:t>
      </w:r>
      <w:r w:rsidR="00735B6B">
        <w:rPr>
          <w:rFonts w:ascii="Times New Roman" w:hAnsi="Times New Roman" w:cs="Times New Roman"/>
          <w:sz w:val="24"/>
          <w:szCs w:val="24"/>
        </w:rPr>
        <w:t xml:space="preserve">for </w:t>
      </w:r>
      <w:r w:rsidR="00A276D9">
        <w:rPr>
          <w:rFonts w:ascii="Times New Roman" w:hAnsi="Times New Roman" w:cs="Times New Roman"/>
          <w:sz w:val="24"/>
          <w:szCs w:val="24"/>
        </w:rPr>
        <w:t xml:space="preserve">exempting </w:t>
      </w:r>
      <w:r w:rsidR="00D10CB0">
        <w:rPr>
          <w:rFonts w:ascii="Times New Roman" w:hAnsi="Times New Roman" w:cs="Times New Roman"/>
          <w:sz w:val="24"/>
          <w:szCs w:val="24"/>
        </w:rPr>
        <w:t xml:space="preserve">CTR affected worksites </w:t>
      </w:r>
      <w:r w:rsidR="00A276D9">
        <w:rPr>
          <w:rFonts w:ascii="Times New Roman" w:hAnsi="Times New Roman" w:cs="Times New Roman"/>
          <w:sz w:val="24"/>
          <w:szCs w:val="24"/>
        </w:rPr>
        <w:t xml:space="preserve">with </w:t>
      </w:r>
      <w:r w:rsidR="00D10CB0">
        <w:rPr>
          <w:rFonts w:ascii="Times New Roman" w:hAnsi="Times New Roman" w:cs="Times New Roman"/>
          <w:sz w:val="24"/>
          <w:szCs w:val="24"/>
        </w:rPr>
        <w:t xml:space="preserve">‘special circumstances’ </w:t>
      </w:r>
      <w:r w:rsidR="00B11EBA">
        <w:rPr>
          <w:rFonts w:ascii="Times New Roman" w:hAnsi="Times New Roman" w:cs="Times New Roman"/>
          <w:sz w:val="24"/>
          <w:szCs w:val="24"/>
        </w:rPr>
        <w:t>from participat</w:t>
      </w:r>
      <w:r w:rsidR="002919E4">
        <w:rPr>
          <w:rFonts w:ascii="Times New Roman" w:hAnsi="Times New Roman" w:cs="Times New Roman"/>
          <w:sz w:val="24"/>
          <w:szCs w:val="24"/>
        </w:rPr>
        <w:t>ing</w:t>
      </w:r>
      <w:r w:rsidR="00B11EBA">
        <w:rPr>
          <w:rFonts w:ascii="Times New Roman" w:hAnsi="Times New Roman" w:cs="Times New Roman"/>
          <w:sz w:val="24"/>
          <w:szCs w:val="24"/>
        </w:rPr>
        <w:t xml:space="preserve"> in the </w:t>
      </w:r>
      <w:r w:rsidR="00735B6B">
        <w:rPr>
          <w:rFonts w:ascii="Times New Roman" w:hAnsi="Times New Roman" w:cs="Times New Roman"/>
          <w:sz w:val="24"/>
          <w:szCs w:val="24"/>
        </w:rPr>
        <w:t>CTR program</w:t>
      </w:r>
      <w:r w:rsidR="00A019C2">
        <w:rPr>
          <w:rFonts w:ascii="Times New Roman" w:hAnsi="Times New Roman" w:cs="Times New Roman"/>
          <w:sz w:val="24"/>
          <w:szCs w:val="24"/>
        </w:rPr>
        <w:t>.</w:t>
      </w:r>
    </w:p>
    <w:p w14:paraId="2C9AE62B" w14:textId="77777777" w:rsidR="00F3604F" w:rsidRDefault="00F3604F" w:rsidP="00F3604F">
      <w:pPr>
        <w:pStyle w:val="ListParagraph"/>
        <w:spacing w:before="360" w:after="0"/>
        <w:ind w:left="0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Background</w:t>
      </w:r>
    </w:p>
    <w:p w14:paraId="5E11AE0A" w14:textId="5D7EA3E4" w:rsidR="0079626D" w:rsidRDefault="00F3604F" w:rsidP="00B11EBA">
      <w:pPr>
        <w:rPr>
          <w:rFonts w:ascii="Times New Roman" w:hAnsi="Times New Roman" w:cs="Times New Roman"/>
          <w:sz w:val="24"/>
          <w:szCs w:val="24"/>
        </w:rPr>
      </w:pPr>
      <w:r w:rsidRPr="005C0A32">
        <w:rPr>
          <w:rFonts w:ascii="Times New Roman" w:hAnsi="Times New Roman" w:cs="Times New Roman"/>
          <w:sz w:val="24"/>
          <w:szCs w:val="24"/>
        </w:rPr>
        <w:t xml:space="preserve">In their </w:t>
      </w:r>
      <w:hyperlink r:id="rId8" w:history="1">
        <w:r w:rsidRPr="005C0A32">
          <w:rPr>
            <w:rStyle w:val="Hyperlink"/>
            <w:rFonts w:ascii="Times New Roman" w:hAnsi="Times New Roman" w:cs="Times New Roman"/>
            <w:sz w:val="24"/>
            <w:szCs w:val="24"/>
          </w:rPr>
          <w:t>2019-2021 Transportation Demand Management Action Plan</w:t>
        </w:r>
      </w:hyperlink>
      <w:r w:rsidRPr="005C0A32">
        <w:rPr>
          <w:rFonts w:ascii="Times New Roman" w:hAnsi="Times New Roman" w:cs="Times New Roman"/>
          <w:sz w:val="24"/>
          <w:szCs w:val="24"/>
        </w:rPr>
        <w:t xml:space="preserve">, the Transportation Demand Management (TDM) Technical Committee and Executive Board </w:t>
      </w:r>
      <w:r w:rsidR="002919E4">
        <w:rPr>
          <w:rFonts w:ascii="Times New Roman" w:hAnsi="Times New Roman" w:cs="Times New Roman"/>
          <w:sz w:val="24"/>
          <w:szCs w:val="24"/>
        </w:rPr>
        <w:t xml:space="preserve">established a set of </w:t>
      </w:r>
      <w:r w:rsidR="00B11EBA">
        <w:rPr>
          <w:rFonts w:ascii="Times New Roman" w:hAnsi="Times New Roman" w:cs="Times New Roman"/>
          <w:sz w:val="24"/>
          <w:szCs w:val="24"/>
        </w:rPr>
        <w:t xml:space="preserve">priority action items </w:t>
      </w:r>
      <w:r w:rsidR="002919E4">
        <w:rPr>
          <w:rFonts w:ascii="Times New Roman" w:hAnsi="Times New Roman" w:cs="Times New Roman"/>
          <w:sz w:val="24"/>
          <w:szCs w:val="24"/>
        </w:rPr>
        <w:t xml:space="preserve">including </w:t>
      </w:r>
      <w:r w:rsidR="00B11EBA">
        <w:rPr>
          <w:rFonts w:ascii="Times New Roman" w:hAnsi="Times New Roman" w:cs="Times New Roman"/>
          <w:sz w:val="24"/>
          <w:szCs w:val="24"/>
        </w:rPr>
        <w:t>“</w:t>
      </w:r>
      <w:r w:rsidRPr="005C0A32">
        <w:rPr>
          <w:rFonts w:ascii="Times New Roman" w:hAnsi="Times New Roman" w:cs="Times New Roman"/>
          <w:sz w:val="24"/>
          <w:szCs w:val="24"/>
        </w:rPr>
        <w:t>providing jurisdiction technical assistance to enhance the program deliver and increase program performance (e.g., exempting worksites and/or cities with extenuating circumstances)</w:t>
      </w:r>
      <w:r w:rsidR="00B11EBA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 xml:space="preserve">This committee and board initiative directly aligns with </w:t>
      </w:r>
      <w:hyperlink r:id="rId9" w:history="1">
        <w:r w:rsidRPr="00223AEC">
          <w:rPr>
            <w:rStyle w:val="Hyperlink"/>
            <w:rFonts w:ascii="Times New Roman" w:hAnsi="Times New Roman" w:cs="Times New Roman"/>
            <w:sz w:val="24"/>
            <w:szCs w:val="24"/>
          </w:rPr>
          <w:t>WSDOT’s Public Transportation Division’s 2019-2023 TDM Strategic Plan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goal to “increase the use of high-efficiency transportation options for commutes by streamlining program administration.”</w:t>
      </w:r>
    </w:p>
    <w:p w14:paraId="7A7503C8" w14:textId="627C742B" w:rsidR="00345D04" w:rsidRDefault="00D75EF5" w:rsidP="00B1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intention of a worksite exemption </w:t>
      </w:r>
      <w:r w:rsidR="00A569CA">
        <w:rPr>
          <w:rFonts w:ascii="Times New Roman" w:hAnsi="Times New Roman" w:cs="Times New Roman"/>
          <w:sz w:val="24"/>
          <w:szCs w:val="24"/>
        </w:rPr>
        <w:t xml:space="preserve">is </w:t>
      </w:r>
      <w:r w:rsidR="001B3E3A">
        <w:rPr>
          <w:rFonts w:ascii="Times New Roman" w:hAnsi="Times New Roman" w:cs="Times New Roman"/>
          <w:sz w:val="24"/>
          <w:szCs w:val="24"/>
        </w:rPr>
        <w:t xml:space="preserve">to allow </w:t>
      </w:r>
      <w:r>
        <w:rPr>
          <w:rFonts w:ascii="Times New Roman" w:hAnsi="Times New Roman" w:cs="Times New Roman"/>
          <w:sz w:val="24"/>
          <w:szCs w:val="24"/>
        </w:rPr>
        <w:t xml:space="preserve">grantees </w:t>
      </w:r>
      <w:r w:rsidR="001B3E3A">
        <w:rPr>
          <w:rFonts w:ascii="Times New Roman" w:hAnsi="Times New Roman" w:cs="Times New Roman"/>
          <w:sz w:val="24"/>
          <w:szCs w:val="24"/>
        </w:rPr>
        <w:t xml:space="preserve">the option to </w:t>
      </w:r>
      <w:r>
        <w:rPr>
          <w:rFonts w:ascii="Times New Roman" w:hAnsi="Times New Roman" w:cs="Times New Roman"/>
          <w:sz w:val="24"/>
          <w:szCs w:val="24"/>
        </w:rPr>
        <w:t>exempt worksites that are unable to participate in the CTR program due to ‘special circumstances</w:t>
      </w:r>
      <w:r w:rsidR="00A569CA">
        <w:rPr>
          <w:rFonts w:ascii="Times New Roman" w:hAnsi="Times New Roman" w:cs="Times New Roman"/>
          <w:sz w:val="24"/>
          <w:szCs w:val="24"/>
        </w:rPr>
        <w:t>’</w:t>
      </w:r>
      <w:r w:rsidR="001B3E3A">
        <w:rPr>
          <w:rFonts w:ascii="Times New Roman" w:hAnsi="Times New Roman" w:cs="Times New Roman"/>
          <w:sz w:val="24"/>
          <w:szCs w:val="24"/>
        </w:rPr>
        <w:t xml:space="preserve"> that preclude them from participation in the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9CA">
        <w:rPr>
          <w:rFonts w:ascii="Times New Roman" w:hAnsi="Times New Roman" w:cs="Times New Roman"/>
          <w:sz w:val="24"/>
          <w:szCs w:val="24"/>
        </w:rPr>
        <w:t xml:space="preserve">An exemption allows </w:t>
      </w:r>
      <w:r>
        <w:rPr>
          <w:rFonts w:ascii="Times New Roman" w:hAnsi="Times New Roman" w:cs="Times New Roman"/>
          <w:sz w:val="24"/>
          <w:szCs w:val="24"/>
        </w:rPr>
        <w:t xml:space="preserve">grantees to focus their resources on worksites that </w:t>
      </w:r>
      <w:r w:rsidR="00075E47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continuously change travel behavior. </w:t>
      </w:r>
    </w:p>
    <w:p w14:paraId="03285B3B" w14:textId="3ED19B66" w:rsidR="0079626D" w:rsidRPr="00F3604F" w:rsidRDefault="00075E47" w:rsidP="00B1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WSDOT </w:t>
      </w:r>
      <w:r w:rsidR="0079626D">
        <w:rPr>
          <w:rFonts w:ascii="Times New Roman" w:hAnsi="Times New Roman" w:cs="Times New Roman"/>
          <w:sz w:val="24"/>
          <w:szCs w:val="24"/>
        </w:rPr>
        <w:t xml:space="preserve">staff worked with the Transportation Demand Management Technical Committee along with conducting small group interviews with CTR grantees (held in February 2020)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9626D">
        <w:rPr>
          <w:rFonts w:ascii="Times New Roman" w:hAnsi="Times New Roman" w:cs="Times New Roman"/>
          <w:sz w:val="24"/>
          <w:szCs w:val="24"/>
        </w:rPr>
        <w:t xml:space="preserve">guidance on </w:t>
      </w:r>
      <w:r>
        <w:rPr>
          <w:rFonts w:ascii="Times New Roman" w:hAnsi="Times New Roman" w:cs="Times New Roman"/>
          <w:sz w:val="24"/>
          <w:szCs w:val="24"/>
        </w:rPr>
        <w:t xml:space="preserve">establishing </w:t>
      </w:r>
      <w:r w:rsidR="00D75EF5">
        <w:rPr>
          <w:rFonts w:ascii="Times New Roman" w:hAnsi="Times New Roman" w:cs="Times New Roman"/>
          <w:sz w:val="24"/>
          <w:szCs w:val="24"/>
        </w:rPr>
        <w:t xml:space="preserve">a </w:t>
      </w:r>
      <w:r w:rsidR="0079626D">
        <w:rPr>
          <w:rFonts w:ascii="Times New Roman" w:hAnsi="Times New Roman" w:cs="Times New Roman"/>
          <w:sz w:val="24"/>
          <w:szCs w:val="24"/>
        </w:rPr>
        <w:t xml:space="preserve">path forward. </w:t>
      </w:r>
    </w:p>
    <w:p w14:paraId="535ACC8C" w14:textId="5D4EE161" w:rsidR="00B30FAE" w:rsidRPr="00A019C2" w:rsidRDefault="00B30FAE" w:rsidP="00B30FAE">
      <w:pPr>
        <w:pStyle w:val="ListParagraph"/>
        <w:spacing w:before="360" w:after="0"/>
        <w:ind w:left="0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Proposed Recommendations</w:t>
      </w:r>
    </w:p>
    <w:p w14:paraId="3A287289" w14:textId="53710B2D" w:rsidR="00075E47" w:rsidRDefault="0079626D" w:rsidP="005C0A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</w:t>
      </w:r>
      <w:r w:rsidR="001B3E3A">
        <w:rPr>
          <w:rFonts w:ascii="Times New Roman" w:hAnsi="Times New Roman" w:cs="Times New Roman"/>
          <w:sz w:val="24"/>
          <w:szCs w:val="24"/>
        </w:rPr>
        <w:t xml:space="preserve"> outreach efforts, </w:t>
      </w:r>
      <w:r w:rsidR="00075E47">
        <w:rPr>
          <w:rFonts w:ascii="Times New Roman" w:hAnsi="Times New Roman" w:cs="Times New Roman"/>
          <w:sz w:val="24"/>
          <w:szCs w:val="24"/>
        </w:rPr>
        <w:t xml:space="preserve">WSDOT staff </w:t>
      </w:r>
      <w:r w:rsidR="001B3E3A">
        <w:rPr>
          <w:rFonts w:ascii="Times New Roman" w:hAnsi="Times New Roman" w:cs="Times New Roman"/>
          <w:sz w:val="24"/>
          <w:szCs w:val="24"/>
        </w:rPr>
        <w:t>recommend</w:t>
      </w:r>
      <w:r w:rsidR="00075E47">
        <w:rPr>
          <w:rFonts w:ascii="Times New Roman" w:hAnsi="Times New Roman" w:cs="Times New Roman"/>
          <w:sz w:val="24"/>
          <w:szCs w:val="24"/>
        </w:rPr>
        <w:t>s</w:t>
      </w:r>
      <w:r w:rsidR="001B3E3A">
        <w:rPr>
          <w:rFonts w:ascii="Times New Roman" w:hAnsi="Times New Roman" w:cs="Times New Roman"/>
          <w:sz w:val="24"/>
          <w:szCs w:val="24"/>
        </w:rPr>
        <w:t xml:space="preserve">, per the </w:t>
      </w:r>
      <w:r w:rsidR="00D75EF5">
        <w:rPr>
          <w:rFonts w:ascii="Times New Roman" w:hAnsi="Times New Roman" w:cs="Times New Roman"/>
          <w:sz w:val="24"/>
          <w:szCs w:val="24"/>
        </w:rPr>
        <w:t xml:space="preserve">state’s </w:t>
      </w:r>
      <w:r w:rsidR="001B3E3A">
        <w:rPr>
          <w:rFonts w:ascii="Times New Roman" w:hAnsi="Times New Roman" w:cs="Times New Roman"/>
          <w:sz w:val="24"/>
          <w:szCs w:val="24"/>
        </w:rPr>
        <w:t xml:space="preserve">statue </w:t>
      </w:r>
      <w:r w:rsidR="001B74EF">
        <w:rPr>
          <w:rFonts w:ascii="Times New Roman" w:hAnsi="Times New Roman" w:cs="Times New Roman"/>
          <w:sz w:val="24"/>
          <w:szCs w:val="24"/>
        </w:rPr>
        <w:t>RCW 70.94.527</w:t>
      </w:r>
      <w:r w:rsidR="00735B6B">
        <w:rPr>
          <w:rFonts w:ascii="Times New Roman" w:hAnsi="Times New Roman" w:cs="Times New Roman"/>
          <w:sz w:val="24"/>
          <w:szCs w:val="24"/>
        </w:rPr>
        <w:t xml:space="preserve"> items </w:t>
      </w:r>
      <w:r w:rsidR="001B74EF">
        <w:rPr>
          <w:rFonts w:ascii="Times New Roman" w:hAnsi="Times New Roman" w:cs="Times New Roman"/>
          <w:sz w:val="24"/>
          <w:szCs w:val="24"/>
        </w:rPr>
        <w:t>(1) &amp; (9)</w:t>
      </w:r>
      <w:r w:rsidR="001B3E3A">
        <w:rPr>
          <w:rFonts w:ascii="Times New Roman" w:hAnsi="Times New Roman" w:cs="Times New Roman"/>
          <w:sz w:val="24"/>
          <w:szCs w:val="24"/>
        </w:rPr>
        <w:t>,</w:t>
      </w:r>
      <w:r w:rsidR="00D75EF5">
        <w:rPr>
          <w:rFonts w:ascii="Times New Roman" w:hAnsi="Times New Roman" w:cs="Times New Roman"/>
          <w:sz w:val="24"/>
          <w:szCs w:val="24"/>
        </w:rPr>
        <w:t xml:space="preserve"> </w:t>
      </w:r>
      <w:r w:rsidR="00075E47">
        <w:rPr>
          <w:rFonts w:ascii="Times New Roman" w:hAnsi="Times New Roman" w:cs="Times New Roman"/>
          <w:sz w:val="24"/>
          <w:szCs w:val="24"/>
        </w:rPr>
        <w:t xml:space="preserve">allowing jurisdictions to refer to their </w:t>
      </w:r>
      <w:r>
        <w:rPr>
          <w:rFonts w:ascii="Times New Roman" w:hAnsi="Times New Roman" w:cs="Times New Roman"/>
          <w:sz w:val="24"/>
          <w:szCs w:val="24"/>
        </w:rPr>
        <w:t xml:space="preserve">local ordinances and plans </w:t>
      </w:r>
      <w:r w:rsidR="001B3E3A">
        <w:rPr>
          <w:rFonts w:ascii="Times New Roman" w:hAnsi="Times New Roman" w:cs="Times New Roman"/>
          <w:sz w:val="24"/>
          <w:szCs w:val="24"/>
        </w:rPr>
        <w:t xml:space="preserve">to </w:t>
      </w:r>
      <w:r w:rsidR="00075E47">
        <w:rPr>
          <w:rFonts w:ascii="Times New Roman" w:hAnsi="Times New Roman" w:cs="Times New Roman"/>
          <w:sz w:val="24"/>
          <w:szCs w:val="24"/>
        </w:rPr>
        <w:t xml:space="preserve">determine the criteria to </w:t>
      </w:r>
      <w:r w:rsidR="00D75EF5">
        <w:rPr>
          <w:rFonts w:ascii="Times New Roman" w:hAnsi="Times New Roman" w:cs="Times New Roman"/>
          <w:sz w:val="24"/>
          <w:szCs w:val="24"/>
        </w:rPr>
        <w:t xml:space="preserve">exempt worksites that have </w:t>
      </w:r>
      <w:r w:rsidR="00D10CB0">
        <w:rPr>
          <w:rFonts w:ascii="Times New Roman" w:hAnsi="Times New Roman" w:cs="Times New Roman"/>
          <w:sz w:val="24"/>
          <w:szCs w:val="24"/>
        </w:rPr>
        <w:t xml:space="preserve">‘special circumstances’ </w:t>
      </w:r>
      <w:r w:rsidR="001B74EF">
        <w:rPr>
          <w:rFonts w:ascii="Times New Roman" w:hAnsi="Times New Roman" w:cs="Times New Roman"/>
          <w:sz w:val="24"/>
          <w:szCs w:val="24"/>
        </w:rPr>
        <w:t xml:space="preserve">from participation in the CTR program </w:t>
      </w:r>
      <w:r w:rsidR="00F3604F">
        <w:rPr>
          <w:rFonts w:ascii="Times New Roman" w:hAnsi="Times New Roman" w:cs="Times New Roman"/>
          <w:sz w:val="24"/>
          <w:szCs w:val="24"/>
        </w:rPr>
        <w:t>for a maximum life of 4 years</w:t>
      </w:r>
      <w:r w:rsidR="00D10CB0">
        <w:rPr>
          <w:rFonts w:ascii="Times New Roman" w:hAnsi="Times New Roman" w:cs="Times New Roman"/>
          <w:sz w:val="24"/>
          <w:szCs w:val="24"/>
        </w:rPr>
        <w:t>.</w:t>
      </w:r>
      <w:r w:rsidR="00D75EF5">
        <w:rPr>
          <w:rFonts w:ascii="Times New Roman" w:hAnsi="Times New Roman" w:cs="Times New Roman"/>
          <w:sz w:val="24"/>
          <w:szCs w:val="24"/>
        </w:rPr>
        <w:t xml:space="preserve"> </w:t>
      </w:r>
      <w:r w:rsidR="00075E47">
        <w:rPr>
          <w:rFonts w:ascii="Times New Roman" w:hAnsi="Times New Roman" w:cs="Times New Roman"/>
          <w:sz w:val="24"/>
          <w:szCs w:val="24"/>
        </w:rPr>
        <w:t xml:space="preserve">For those jurisdictions that don’t have a </w:t>
      </w:r>
      <w:r w:rsidR="001B3E3A">
        <w:rPr>
          <w:rFonts w:ascii="Times New Roman" w:hAnsi="Times New Roman" w:cs="Times New Roman"/>
          <w:sz w:val="24"/>
          <w:szCs w:val="24"/>
        </w:rPr>
        <w:t>formalize</w:t>
      </w:r>
      <w:r w:rsidR="00075E47">
        <w:rPr>
          <w:rFonts w:ascii="Times New Roman" w:hAnsi="Times New Roman" w:cs="Times New Roman"/>
          <w:sz w:val="24"/>
          <w:szCs w:val="24"/>
        </w:rPr>
        <w:t>d</w:t>
      </w:r>
      <w:r w:rsidR="001B3E3A">
        <w:rPr>
          <w:rFonts w:ascii="Times New Roman" w:hAnsi="Times New Roman" w:cs="Times New Roman"/>
          <w:sz w:val="24"/>
          <w:szCs w:val="24"/>
        </w:rPr>
        <w:t xml:space="preserve"> </w:t>
      </w:r>
      <w:r w:rsidR="00075E47">
        <w:rPr>
          <w:rFonts w:ascii="Times New Roman" w:hAnsi="Times New Roman" w:cs="Times New Roman"/>
          <w:sz w:val="24"/>
          <w:szCs w:val="24"/>
        </w:rPr>
        <w:t xml:space="preserve">process, staff has developed a form grantees can submit to the TDM technical committee for review.  </w:t>
      </w:r>
    </w:p>
    <w:p w14:paraId="50CD87B8" w14:textId="210CF645" w:rsidR="00075E47" w:rsidRPr="001C4123" w:rsidRDefault="00075E47" w:rsidP="005C0A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to exempt worksites are as follows</w:t>
      </w:r>
      <w:r w:rsidR="00B30FAE">
        <w:rPr>
          <w:rFonts w:ascii="Times New Roman" w:hAnsi="Times New Roman" w:cs="Times New Roman"/>
          <w:sz w:val="24"/>
          <w:szCs w:val="24"/>
        </w:rPr>
        <w:t>:</w:t>
      </w:r>
    </w:p>
    <w:p w14:paraId="766A3087" w14:textId="58036BF5" w:rsidR="00F3604F" w:rsidRPr="001C4123" w:rsidRDefault="001B74EF" w:rsidP="005C0A32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1C4123">
        <w:rPr>
          <w:rFonts w:ascii="Times New Roman" w:hAnsi="Times New Roman" w:cs="Times New Roman"/>
          <w:b/>
          <w:sz w:val="24"/>
          <w:szCs w:val="24"/>
        </w:rPr>
        <w:t xml:space="preserve">WSDOT’s </w:t>
      </w:r>
      <w:r w:rsidR="004B2A07">
        <w:rPr>
          <w:rFonts w:ascii="Times New Roman" w:hAnsi="Times New Roman" w:cs="Times New Roman"/>
          <w:b/>
          <w:sz w:val="24"/>
          <w:szCs w:val="24"/>
        </w:rPr>
        <w:t xml:space="preserve">form to document </w:t>
      </w:r>
      <w:r w:rsidR="002D3E61">
        <w:rPr>
          <w:rFonts w:ascii="Times New Roman" w:hAnsi="Times New Roman" w:cs="Times New Roman"/>
          <w:b/>
          <w:sz w:val="24"/>
          <w:szCs w:val="24"/>
        </w:rPr>
        <w:t xml:space="preserve">the request for a </w:t>
      </w:r>
      <w:r w:rsidR="00F3604F">
        <w:rPr>
          <w:rFonts w:ascii="Times New Roman" w:hAnsi="Times New Roman" w:cs="Times New Roman"/>
          <w:b/>
          <w:sz w:val="24"/>
          <w:szCs w:val="24"/>
        </w:rPr>
        <w:t xml:space="preserve">worksite </w:t>
      </w:r>
      <w:r w:rsidR="004B2A07">
        <w:rPr>
          <w:rFonts w:ascii="Times New Roman" w:hAnsi="Times New Roman" w:cs="Times New Roman"/>
          <w:b/>
          <w:sz w:val="24"/>
          <w:szCs w:val="24"/>
        </w:rPr>
        <w:t>exemption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E61">
        <w:rPr>
          <w:rFonts w:ascii="Times New Roman" w:hAnsi="Times New Roman" w:cs="Times New Roman"/>
          <w:b/>
          <w:sz w:val="24"/>
          <w:szCs w:val="24"/>
        </w:rPr>
        <w:t xml:space="preserve">based on circumstances defined </w:t>
      </w:r>
      <w:r w:rsidR="00735B6B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075E47">
        <w:rPr>
          <w:rFonts w:ascii="Times New Roman" w:hAnsi="Times New Roman" w:cs="Times New Roman"/>
          <w:b/>
          <w:sz w:val="24"/>
          <w:szCs w:val="24"/>
        </w:rPr>
        <w:t xml:space="preserve">the grantee’s </w:t>
      </w:r>
      <w:r w:rsidR="00735B6B">
        <w:rPr>
          <w:rFonts w:ascii="Times New Roman" w:hAnsi="Times New Roman" w:cs="Times New Roman"/>
          <w:b/>
          <w:sz w:val="24"/>
          <w:szCs w:val="24"/>
        </w:rPr>
        <w:t>local ordinance</w:t>
      </w:r>
      <w:r w:rsidR="00B30FAE" w:rsidRPr="00B30FAE">
        <w:rPr>
          <w:rFonts w:ascii="Times New Roman" w:hAnsi="Times New Roman" w:cs="Times New Roman"/>
          <w:b/>
          <w:sz w:val="24"/>
          <w:szCs w:val="24"/>
        </w:rPr>
        <w:t>.</w:t>
      </w:r>
      <w:r w:rsidR="00B30FAE" w:rsidRPr="00030BFC">
        <w:rPr>
          <w:rFonts w:ascii="Times New Roman" w:hAnsi="Times New Roman" w:cs="Times New Roman"/>
          <w:sz w:val="24"/>
          <w:szCs w:val="24"/>
        </w:rPr>
        <w:t xml:space="preserve"> </w:t>
      </w:r>
      <w:r w:rsidR="004B2A07">
        <w:rPr>
          <w:rFonts w:ascii="Times New Roman" w:hAnsi="Times New Roman" w:cs="Times New Roman"/>
          <w:sz w:val="24"/>
          <w:szCs w:val="24"/>
        </w:rPr>
        <w:t xml:space="preserve">The form </w:t>
      </w:r>
      <w:r w:rsidR="00956847">
        <w:rPr>
          <w:rFonts w:ascii="Times New Roman" w:hAnsi="Times New Roman" w:cs="Times New Roman"/>
          <w:sz w:val="24"/>
          <w:szCs w:val="24"/>
        </w:rPr>
        <w:t>layouts the process and documentation needed to obtain an exemption.  T</w:t>
      </w:r>
      <w:r w:rsidR="002D3E61">
        <w:rPr>
          <w:rFonts w:ascii="Times New Roman" w:hAnsi="Times New Roman" w:cs="Times New Roman"/>
          <w:sz w:val="24"/>
          <w:szCs w:val="24"/>
        </w:rPr>
        <w:t xml:space="preserve">he </w:t>
      </w:r>
      <w:r w:rsidR="004B2A07">
        <w:rPr>
          <w:rFonts w:ascii="Times New Roman" w:hAnsi="Times New Roman" w:cs="Times New Roman"/>
          <w:sz w:val="24"/>
          <w:szCs w:val="24"/>
        </w:rPr>
        <w:t xml:space="preserve">jurisdiction (CTR grantee or the city/town where the worksite is located) </w:t>
      </w:r>
      <w:r w:rsidR="00956847">
        <w:rPr>
          <w:rFonts w:ascii="Times New Roman" w:hAnsi="Times New Roman" w:cs="Times New Roman"/>
          <w:sz w:val="24"/>
          <w:szCs w:val="24"/>
        </w:rPr>
        <w:t>must work directly with the worksite to obtain the proper documentation</w:t>
      </w:r>
      <w:r w:rsidR="004B2A07">
        <w:rPr>
          <w:rFonts w:ascii="Times New Roman" w:hAnsi="Times New Roman" w:cs="Times New Roman"/>
          <w:sz w:val="24"/>
          <w:szCs w:val="24"/>
        </w:rPr>
        <w:t xml:space="preserve">.  </w:t>
      </w:r>
      <w:r w:rsidR="00F3604F">
        <w:rPr>
          <w:rFonts w:ascii="Times New Roman" w:hAnsi="Times New Roman" w:cs="Times New Roman"/>
          <w:sz w:val="24"/>
          <w:szCs w:val="24"/>
        </w:rPr>
        <w:t xml:space="preserve">Per </w:t>
      </w:r>
      <w:hyperlink r:id="rId10" w:history="1">
        <w:r w:rsidR="00F3604F" w:rsidRPr="005B7891">
          <w:rPr>
            <w:rStyle w:val="Hyperlink"/>
            <w:rFonts w:ascii="Times New Roman" w:hAnsi="Times New Roman" w:cs="Times New Roman"/>
            <w:sz w:val="24"/>
            <w:szCs w:val="24"/>
          </w:rPr>
          <w:t>RCW 70.94.527</w:t>
        </w:r>
      </w:hyperlink>
      <w:r w:rsidR="00F3604F">
        <w:rPr>
          <w:rFonts w:ascii="Times New Roman" w:hAnsi="Times New Roman" w:cs="Times New Roman"/>
          <w:sz w:val="24"/>
          <w:szCs w:val="24"/>
        </w:rPr>
        <w:t xml:space="preserve"> (1), </w:t>
      </w:r>
      <w:r w:rsidR="00F3604F" w:rsidRPr="001B74EF">
        <w:rPr>
          <w:rFonts w:ascii="Times New Roman" w:hAnsi="Times New Roman" w:cs="Times New Roman"/>
          <w:i/>
          <w:sz w:val="24"/>
          <w:szCs w:val="24"/>
        </w:rPr>
        <w:t>the ordinance shall establish the requirements for the major employers and provide an appeals process by which major employers, who as a result of special characteristics of their business or its location would be unable to meet the requirements of the ordinance, may obtain waiver or modification of those requirements.</w:t>
      </w:r>
    </w:p>
    <w:p w14:paraId="4CA9AD68" w14:textId="2FF6DAA6" w:rsidR="00B30FAE" w:rsidRPr="00030BFC" w:rsidRDefault="00B30FAE" w:rsidP="005C0A32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E497CB6" w14:textId="4713EBF5" w:rsidR="00B30FAE" w:rsidRPr="00F3604F" w:rsidRDefault="001B74EF" w:rsidP="005C0A32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CTR g</w:t>
      </w:r>
      <w:r w:rsidR="00B81507">
        <w:rPr>
          <w:rFonts w:ascii="Times New Roman" w:hAnsi="Times New Roman" w:cs="Times New Roman"/>
          <w:b/>
          <w:sz w:val="24"/>
          <w:szCs w:val="24"/>
        </w:rPr>
        <w:t xml:space="preserve">rantee </w:t>
      </w:r>
      <w:r w:rsidR="00F3604F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B81507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81507">
        <w:rPr>
          <w:rFonts w:ascii="Times New Roman" w:hAnsi="Times New Roman" w:cs="Times New Roman"/>
          <w:b/>
          <w:sz w:val="24"/>
          <w:szCs w:val="24"/>
        </w:rPr>
        <w:t xml:space="preserve">exemption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 </w:t>
      </w:r>
      <w:r w:rsidR="00B81507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B2A07" w:rsidRPr="004B2A07">
        <w:rPr>
          <w:rFonts w:ascii="Times New Roman" w:hAnsi="Times New Roman" w:cs="Times New Roman"/>
          <w:b/>
          <w:sz w:val="24"/>
          <w:szCs w:val="24"/>
        </w:rPr>
        <w:t>the Transportation Demand Management Technical Committee</w:t>
      </w:r>
      <w:r w:rsidR="00345D04">
        <w:rPr>
          <w:rFonts w:ascii="Times New Roman" w:hAnsi="Times New Roman" w:cs="Times New Roman"/>
          <w:b/>
          <w:sz w:val="24"/>
          <w:szCs w:val="24"/>
        </w:rPr>
        <w:t xml:space="preserve"> (formerly Commute Trip Reduction Board)</w:t>
      </w:r>
      <w:r w:rsidR="004B2A07" w:rsidRPr="004B2A07">
        <w:rPr>
          <w:rFonts w:ascii="Times New Roman" w:hAnsi="Times New Roman" w:cs="Times New Roman"/>
          <w:b/>
          <w:sz w:val="24"/>
          <w:szCs w:val="24"/>
        </w:rPr>
        <w:t>.</w:t>
      </w:r>
      <w:r w:rsidR="004B2A07">
        <w:rPr>
          <w:rFonts w:ascii="Times New Roman" w:hAnsi="Times New Roman" w:cs="Times New Roman"/>
          <w:sz w:val="24"/>
          <w:szCs w:val="24"/>
        </w:rPr>
        <w:t xml:space="preserve">  </w:t>
      </w:r>
      <w:r w:rsidR="00F3604F" w:rsidRPr="00B81507">
        <w:rPr>
          <w:rFonts w:ascii="Times New Roman" w:hAnsi="Times New Roman" w:cs="Times New Roman"/>
          <w:sz w:val="24"/>
          <w:szCs w:val="24"/>
        </w:rPr>
        <w:t>Per</w:t>
      </w:r>
      <w:r w:rsidR="00F3604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F3604F" w:rsidRPr="005B7891">
          <w:rPr>
            <w:rStyle w:val="Hyperlink"/>
            <w:rFonts w:ascii="Times New Roman" w:hAnsi="Times New Roman" w:cs="Times New Roman"/>
            <w:sz w:val="24"/>
            <w:szCs w:val="24"/>
          </w:rPr>
          <w:t>RCW 70.94.527</w:t>
        </w:r>
      </w:hyperlink>
      <w:r w:rsidR="00F3604F">
        <w:rPr>
          <w:rFonts w:ascii="Times New Roman" w:hAnsi="Times New Roman" w:cs="Times New Roman"/>
          <w:sz w:val="24"/>
          <w:szCs w:val="24"/>
        </w:rPr>
        <w:t xml:space="preserve"> (9), </w:t>
      </w:r>
      <w:r w:rsidR="00F3604F">
        <w:rPr>
          <w:rFonts w:ascii="Times New Roman" w:hAnsi="Times New Roman" w:cs="Times New Roman"/>
          <w:i/>
          <w:sz w:val="24"/>
          <w:szCs w:val="24"/>
        </w:rPr>
        <w:t xml:space="preserve">any waivers or modifications of the requirements of a commute trip reduction plan granted by a jurisdiction shall be submitted for review to the commute trip reduction board established under </w:t>
      </w:r>
      <w:hyperlink r:id="rId12" w:history="1">
        <w:r w:rsidR="00F3604F" w:rsidRPr="005B789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RCW 70.94.537</w:t>
        </w:r>
      </w:hyperlink>
      <w:r w:rsidR="00F3604F">
        <w:rPr>
          <w:rFonts w:ascii="Times New Roman" w:hAnsi="Times New Roman" w:cs="Times New Roman"/>
          <w:i/>
          <w:sz w:val="24"/>
          <w:szCs w:val="24"/>
        </w:rPr>
        <w:t>.</w:t>
      </w:r>
      <w:r w:rsidR="00F3604F" w:rsidRPr="001B74E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1F2CBD4" w14:textId="77777777" w:rsidR="00F3604F" w:rsidRPr="00F3604F" w:rsidRDefault="00F3604F" w:rsidP="005C0A32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14:paraId="214E63C7" w14:textId="3FA472E3" w:rsidR="00EE0D2D" w:rsidRDefault="001B74EF" w:rsidP="005C0A32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81507">
        <w:rPr>
          <w:rFonts w:ascii="Times New Roman" w:hAnsi="Times New Roman" w:cs="Times New Roman"/>
          <w:b/>
          <w:sz w:val="24"/>
          <w:szCs w:val="24"/>
        </w:rPr>
        <w:t xml:space="preserve">Transportation Demand Management Technical Committee </w:t>
      </w:r>
      <w:r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B81507">
        <w:rPr>
          <w:rFonts w:ascii="Times New Roman" w:hAnsi="Times New Roman" w:cs="Times New Roman"/>
          <w:b/>
          <w:sz w:val="24"/>
          <w:szCs w:val="24"/>
        </w:rPr>
        <w:t xml:space="preserve">review the request and may notify the grantee of any comments or objections.  </w:t>
      </w:r>
      <w:r w:rsidR="00B81507" w:rsidRPr="00B81507">
        <w:rPr>
          <w:rFonts w:ascii="Times New Roman" w:hAnsi="Times New Roman" w:cs="Times New Roman"/>
          <w:sz w:val="24"/>
          <w:szCs w:val="24"/>
        </w:rPr>
        <w:t>Per</w:t>
      </w:r>
      <w:r w:rsidR="00B8150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B81507" w:rsidRPr="005B7891">
          <w:rPr>
            <w:rStyle w:val="Hyperlink"/>
            <w:rFonts w:ascii="Times New Roman" w:hAnsi="Times New Roman" w:cs="Times New Roman"/>
            <w:sz w:val="24"/>
            <w:szCs w:val="24"/>
          </w:rPr>
          <w:t>RCW 70.94.527</w:t>
        </w:r>
      </w:hyperlink>
      <w:r w:rsidR="00B81507">
        <w:rPr>
          <w:rFonts w:ascii="Times New Roman" w:hAnsi="Times New Roman" w:cs="Times New Roman"/>
          <w:sz w:val="24"/>
          <w:szCs w:val="24"/>
        </w:rPr>
        <w:t xml:space="preserve"> (9), </w:t>
      </w:r>
      <w:r w:rsidR="00B81507" w:rsidRPr="001B74EF">
        <w:rPr>
          <w:rFonts w:ascii="Times New Roman" w:hAnsi="Times New Roman" w:cs="Times New Roman"/>
          <w:i/>
          <w:sz w:val="24"/>
          <w:szCs w:val="24"/>
        </w:rPr>
        <w:t xml:space="preserve">the commute trip reduction board may not deny the granting a waiver or modification of the requirements of a commute trip reduction plan by a </w:t>
      </w:r>
      <w:r w:rsidRPr="001B74EF">
        <w:rPr>
          <w:rFonts w:ascii="Times New Roman" w:hAnsi="Times New Roman" w:cs="Times New Roman"/>
          <w:i/>
          <w:sz w:val="24"/>
          <w:szCs w:val="24"/>
        </w:rPr>
        <w:t>jurisdiction but</w:t>
      </w:r>
      <w:r w:rsidR="00B81507" w:rsidRPr="001B74EF">
        <w:rPr>
          <w:rFonts w:ascii="Times New Roman" w:hAnsi="Times New Roman" w:cs="Times New Roman"/>
          <w:i/>
          <w:sz w:val="24"/>
          <w:szCs w:val="24"/>
        </w:rPr>
        <w:t xml:space="preserve"> they may notify the jurisdiction of any comments or objections.  </w:t>
      </w:r>
    </w:p>
    <w:p w14:paraId="42AF30E4" w14:textId="10524FEB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08640F" w14:textId="20910809" w:rsidR="002D3E61" w:rsidRPr="00205217" w:rsidRDefault="002D3E61" w:rsidP="002D3E61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205217">
        <w:rPr>
          <w:rFonts w:ascii="Times New Roman" w:hAnsi="Times New Roman" w:cs="Times New Roman"/>
          <w:b/>
          <w:sz w:val="24"/>
          <w:szCs w:val="24"/>
        </w:rPr>
        <w:t xml:space="preserve">the case where the sole </w:t>
      </w:r>
      <w:r>
        <w:rPr>
          <w:rFonts w:ascii="Times New Roman" w:hAnsi="Times New Roman" w:cs="Times New Roman"/>
          <w:b/>
          <w:sz w:val="24"/>
          <w:szCs w:val="24"/>
        </w:rPr>
        <w:t>worksite is exempt from the program, the cit</w:t>
      </w:r>
      <w:r w:rsidR="0020521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217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 xml:space="preserve"> count</w:t>
      </w:r>
      <w:r w:rsidR="0020521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D04">
        <w:rPr>
          <w:rFonts w:ascii="Times New Roman" w:hAnsi="Times New Roman" w:cs="Times New Roman"/>
          <w:b/>
          <w:sz w:val="24"/>
          <w:szCs w:val="24"/>
        </w:rPr>
        <w:t xml:space="preserve">municipality that has less than </w:t>
      </w:r>
      <w:r>
        <w:rPr>
          <w:rFonts w:ascii="Times New Roman" w:hAnsi="Times New Roman" w:cs="Times New Roman"/>
          <w:b/>
          <w:sz w:val="24"/>
          <w:szCs w:val="24"/>
        </w:rPr>
        <w:t xml:space="preserve">100 employees will also be exempt from participation in the CTR program for the period of the exemption.  </w:t>
      </w:r>
      <w:r w:rsidRPr="002D3E61">
        <w:rPr>
          <w:rFonts w:ascii="Times New Roman" w:hAnsi="Times New Roman" w:cs="Times New Roman"/>
          <w:sz w:val="24"/>
          <w:szCs w:val="24"/>
        </w:rPr>
        <w:t>Per</w:t>
      </w:r>
      <w:r w:rsidRPr="002D3E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9F1B79">
          <w:rPr>
            <w:rStyle w:val="Hyperlink"/>
            <w:rFonts w:ascii="Times New Roman" w:hAnsi="Times New Roman" w:cs="Times New Roman"/>
            <w:sz w:val="24"/>
            <w:szCs w:val="24"/>
          </w:rPr>
          <w:t>WAC 468.63.020</w:t>
        </w:r>
      </w:hyperlink>
      <w:r w:rsidRPr="002D3E61">
        <w:rPr>
          <w:rFonts w:ascii="Times New Roman" w:hAnsi="Times New Roman" w:cs="Times New Roman"/>
          <w:sz w:val="24"/>
          <w:szCs w:val="24"/>
        </w:rPr>
        <w:t xml:space="preserve"> (d),</w:t>
      </w:r>
      <w:r w:rsidRPr="002D3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217">
        <w:rPr>
          <w:rFonts w:ascii="Times New Roman" w:hAnsi="Times New Roman" w:cs="Times New Roman"/>
          <w:i/>
          <w:sz w:val="24"/>
          <w:szCs w:val="24"/>
        </w:rPr>
        <w:t>o</w:t>
      </w:r>
      <w:r w:rsidRPr="00205217">
        <w:rPr>
          <w:rFonts w:ascii="Times New Roman" w:hAnsi="Times New Roman" w:cs="Times New Roman"/>
          <w:bCs/>
          <w:i/>
          <w:sz w:val="24"/>
          <w:szCs w:val="24"/>
        </w:rPr>
        <w:t xml:space="preserve">nly those cities and counties containing a major employer in the affected urban growth area within the boundaries of their official jurisdiction shall be required to adopt a local CTR plan. </w:t>
      </w:r>
    </w:p>
    <w:p w14:paraId="2211B9C3" w14:textId="77777777" w:rsidR="002D3E61" w:rsidRPr="002D3E61" w:rsidRDefault="002D3E61" w:rsidP="002D3E61">
      <w:pPr>
        <w:spacing w:after="120"/>
        <w:rPr>
          <w:rFonts w:ascii="Arial" w:hAnsi="Arial" w:cs="Arial"/>
          <w:b/>
          <w:sz w:val="32"/>
          <w:szCs w:val="32"/>
        </w:rPr>
      </w:pPr>
    </w:p>
    <w:p w14:paraId="40D098AD" w14:textId="71576A80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9DB785" w14:textId="021032E0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7C5DB1" w14:textId="2F2D0193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CA23E51" w14:textId="2838BA7F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57716E" w14:textId="6D1B7285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105469C" w14:textId="243E1D7F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DFE5851" w14:textId="2035D2F4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EA8B92" w14:textId="6CF515D9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541421" w14:textId="3FD750B3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3FAA36" w14:textId="527DC2D3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A7F377" w14:textId="214E3538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5C78F7" w14:textId="182E8649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E25704" w14:textId="3F2EA4D0" w:rsidR="00041A7C" w:rsidRDefault="00041A7C" w:rsidP="00F3604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625C91" w14:textId="1FB82E1E" w:rsidR="00041A7C" w:rsidRDefault="00041A7C" w:rsidP="00041A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1A7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09BD8" w14:textId="77777777" w:rsidR="00A169F1" w:rsidRDefault="00A169F1" w:rsidP="00A169F1">
      <w:pPr>
        <w:spacing w:after="0" w:line="240" w:lineRule="auto"/>
      </w:pPr>
      <w:r>
        <w:separator/>
      </w:r>
    </w:p>
  </w:endnote>
  <w:endnote w:type="continuationSeparator" w:id="0">
    <w:p w14:paraId="1FB97A6A" w14:textId="77777777" w:rsidR="00A169F1" w:rsidRDefault="00A169F1" w:rsidP="00A1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FE4A" w14:textId="0DB19373" w:rsidR="00A169F1" w:rsidRPr="005C18B1" w:rsidRDefault="00CA1251" w:rsidP="00CA125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CTR Policy Refresh </w:t>
    </w:r>
    <w:r w:rsidR="00A169F1">
      <w:rPr>
        <w:rFonts w:ascii="Arial" w:hAnsi="Arial" w:cs="Arial"/>
        <w:sz w:val="20"/>
        <w:szCs w:val="20"/>
      </w:rPr>
      <w:t xml:space="preserve">                                        </w:t>
    </w:r>
    <w:r>
      <w:rPr>
        <w:rFonts w:ascii="Arial" w:hAnsi="Arial" w:cs="Arial"/>
        <w:sz w:val="20"/>
        <w:szCs w:val="20"/>
      </w:rPr>
      <w:tab/>
    </w:r>
    <w:r w:rsidR="00A169F1">
      <w:rPr>
        <w:rFonts w:ascii="Arial" w:hAnsi="Arial" w:cs="Arial"/>
        <w:sz w:val="20"/>
        <w:szCs w:val="20"/>
      </w:rPr>
      <w:tab/>
    </w:r>
    <w:r w:rsidR="00984103">
      <w:rPr>
        <w:rFonts w:ascii="Arial" w:hAnsi="Arial" w:cs="Arial"/>
        <w:sz w:val="20"/>
        <w:szCs w:val="20"/>
      </w:rPr>
      <w:t>April</w:t>
    </w:r>
    <w:r>
      <w:rPr>
        <w:rFonts w:ascii="Arial" w:hAnsi="Arial" w:cs="Arial"/>
        <w:sz w:val="20"/>
        <w:szCs w:val="20"/>
      </w:rPr>
      <w:t xml:space="preserve"> </w:t>
    </w:r>
    <w:r w:rsidR="00984103">
      <w:rPr>
        <w:rFonts w:ascii="Arial" w:hAnsi="Arial" w:cs="Arial"/>
        <w:sz w:val="20"/>
        <w:szCs w:val="20"/>
      </w:rPr>
      <w:t>25</w:t>
    </w:r>
    <w:r w:rsidR="00610317">
      <w:rPr>
        <w:rFonts w:ascii="Arial" w:hAnsi="Arial" w:cs="Arial"/>
        <w:sz w:val="20"/>
        <w:szCs w:val="20"/>
      </w:rPr>
      <w:t>, 2020</w:t>
    </w:r>
  </w:p>
  <w:p w14:paraId="0BC02425" w14:textId="49787F51" w:rsidR="00A169F1" w:rsidRDefault="00A169F1" w:rsidP="00A169F1">
    <w:pPr>
      <w:pStyle w:val="Footer"/>
      <w:jc w:val="center"/>
    </w:pPr>
    <w:r>
      <w:rPr>
        <w:rFonts w:ascii="Arial" w:hAnsi="Arial" w:cs="Arial"/>
        <w:sz w:val="20"/>
        <w:szCs w:val="20"/>
      </w:rPr>
      <w:t>Ricardo Gotla, gotlar@wsdot.wa.gov</w:t>
    </w:r>
    <w:r w:rsidRPr="005C18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</w:rPr>
        <w:id w:val="-11185999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</w:rPr>
            <w:id w:val="626593181"/>
            <w:docPartObj>
              <w:docPartGallery w:val="Page Numbers (Top of Page)"/>
              <w:docPartUnique/>
            </w:docPartObj>
          </w:sdtPr>
          <w:sdtEndPr/>
          <w:sdtContent>
            <w:r w:rsidRPr="00BC35B9">
              <w:rPr>
                <w:rFonts w:ascii="Arial" w:hAnsi="Arial" w:cs="Arial"/>
                <w:sz w:val="20"/>
              </w:rPr>
              <w:t xml:space="preserve">Page </w:t>
            </w:r>
            <w:r w:rsidRPr="00BC35B9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BC35B9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BC35B9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F51B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BC35B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BC35B9">
              <w:rPr>
                <w:rFonts w:ascii="Arial" w:hAnsi="Arial" w:cs="Arial"/>
                <w:sz w:val="20"/>
              </w:rPr>
              <w:t xml:space="preserve"> of </w:t>
            </w:r>
            <w:r w:rsidRPr="00BC35B9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BC35B9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BC35B9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F51BA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BC35B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DBB76" w14:textId="77777777" w:rsidR="00A169F1" w:rsidRDefault="00A169F1" w:rsidP="00A169F1">
      <w:pPr>
        <w:spacing w:after="0" w:line="240" w:lineRule="auto"/>
      </w:pPr>
      <w:r>
        <w:separator/>
      </w:r>
    </w:p>
  </w:footnote>
  <w:footnote w:type="continuationSeparator" w:id="0">
    <w:p w14:paraId="0CF3FFF3" w14:textId="77777777" w:rsidR="00A169F1" w:rsidRDefault="00A169F1" w:rsidP="00A1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0EF27" w14:textId="5100C06F" w:rsidR="00A169F1" w:rsidRDefault="00DF51BA">
    <w:pPr>
      <w:pStyle w:val="Header"/>
    </w:pPr>
    <w:sdt>
      <w:sdtPr>
        <w:id w:val="123774509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1499F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169F1" w:rsidRPr="007A0728">
      <w:rPr>
        <w:noProof/>
      </w:rPr>
      <w:drawing>
        <wp:inline distT="0" distB="0" distL="0" distR="0" wp14:anchorId="2E14C739" wp14:editId="6E2BA979">
          <wp:extent cx="1174969" cy="261257"/>
          <wp:effectExtent l="0" t="0" r="6350" b="5715"/>
          <wp:docPr id="4" name="Picture 4" descr="WSDOTacronym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DOTacronym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46" cy="26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3F7"/>
    <w:multiLevelType w:val="hybridMultilevel"/>
    <w:tmpl w:val="AF3AD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73FD8"/>
    <w:multiLevelType w:val="hybridMultilevel"/>
    <w:tmpl w:val="2312E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A5208"/>
    <w:multiLevelType w:val="hybridMultilevel"/>
    <w:tmpl w:val="9C48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66D6"/>
    <w:multiLevelType w:val="hybridMultilevel"/>
    <w:tmpl w:val="D652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6469"/>
    <w:multiLevelType w:val="hybridMultilevel"/>
    <w:tmpl w:val="B3C2A6E8"/>
    <w:lvl w:ilvl="0" w:tplc="EE408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232"/>
    <w:multiLevelType w:val="hybridMultilevel"/>
    <w:tmpl w:val="9D6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4CCE"/>
    <w:multiLevelType w:val="hybridMultilevel"/>
    <w:tmpl w:val="C43CB71E"/>
    <w:lvl w:ilvl="0" w:tplc="ABCC592A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7E"/>
    <w:rsid w:val="000256DB"/>
    <w:rsid w:val="00030BFC"/>
    <w:rsid w:val="00041A7C"/>
    <w:rsid w:val="000546D3"/>
    <w:rsid w:val="000666D2"/>
    <w:rsid w:val="00075E47"/>
    <w:rsid w:val="000C7B2A"/>
    <w:rsid w:val="000D466F"/>
    <w:rsid w:val="001B2E20"/>
    <w:rsid w:val="001B3E3A"/>
    <w:rsid w:val="001B74EF"/>
    <w:rsid w:val="001C4123"/>
    <w:rsid w:val="001E234B"/>
    <w:rsid w:val="00205217"/>
    <w:rsid w:val="00221E66"/>
    <w:rsid w:val="00223AEC"/>
    <w:rsid w:val="00246232"/>
    <w:rsid w:val="0024667E"/>
    <w:rsid w:val="002919E4"/>
    <w:rsid w:val="002C37F7"/>
    <w:rsid w:val="002D3E61"/>
    <w:rsid w:val="00345D04"/>
    <w:rsid w:val="003A0C15"/>
    <w:rsid w:val="003E3E34"/>
    <w:rsid w:val="004B1797"/>
    <w:rsid w:val="004B2A07"/>
    <w:rsid w:val="005B7891"/>
    <w:rsid w:val="005C0A32"/>
    <w:rsid w:val="005E5D20"/>
    <w:rsid w:val="00610317"/>
    <w:rsid w:val="006A0C67"/>
    <w:rsid w:val="00735B6B"/>
    <w:rsid w:val="0079626D"/>
    <w:rsid w:val="00872E52"/>
    <w:rsid w:val="008B0B94"/>
    <w:rsid w:val="008B20C3"/>
    <w:rsid w:val="008C01A5"/>
    <w:rsid w:val="00956847"/>
    <w:rsid w:val="00984103"/>
    <w:rsid w:val="009F1B79"/>
    <w:rsid w:val="00A019C2"/>
    <w:rsid w:val="00A169F1"/>
    <w:rsid w:val="00A276D9"/>
    <w:rsid w:val="00A31439"/>
    <w:rsid w:val="00A569CA"/>
    <w:rsid w:val="00AA7E31"/>
    <w:rsid w:val="00AE48E2"/>
    <w:rsid w:val="00B11EBA"/>
    <w:rsid w:val="00B30FAE"/>
    <w:rsid w:val="00B44DB2"/>
    <w:rsid w:val="00B81507"/>
    <w:rsid w:val="00BC35B9"/>
    <w:rsid w:val="00C8481B"/>
    <w:rsid w:val="00CA1251"/>
    <w:rsid w:val="00CD5811"/>
    <w:rsid w:val="00D05E30"/>
    <w:rsid w:val="00D10CB0"/>
    <w:rsid w:val="00D75EF5"/>
    <w:rsid w:val="00DB4055"/>
    <w:rsid w:val="00DB4F87"/>
    <w:rsid w:val="00DF51BA"/>
    <w:rsid w:val="00EE0D2D"/>
    <w:rsid w:val="00F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7E83CBA"/>
  <w15:chartTrackingRefBased/>
  <w15:docId w15:val="{9AAAA8EC-C44B-4549-91C4-28CCADB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9F1"/>
  </w:style>
  <w:style w:type="paragraph" w:styleId="Footer">
    <w:name w:val="footer"/>
    <w:basedOn w:val="Normal"/>
    <w:link w:val="FooterChar"/>
    <w:uiPriority w:val="99"/>
    <w:unhideWhenUsed/>
    <w:rsid w:val="00A1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9F1"/>
  </w:style>
  <w:style w:type="paragraph" w:styleId="ListParagraph">
    <w:name w:val="List Paragraph"/>
    <w:basedOn w:val="Normal"/>
    <w:uiPriority w:val="34"/>
    <w:qFormat/>
    <w:rsid w:val="00025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6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B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3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ning.com/topology/rest/1.0/file/get/3811590282?profile=original" TargetMode="External"/><Relationship Id="rId13" Type="http://schemas.openxmlformats.org/officeDocument/2006/relationships/hyperlink" Target="https://app.leg.wa.gov/RCW/default.aspx?cite=70.94.5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rcw/default.aspx?cite=70.94.53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RCW/default.aspx?cite=70.94.52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p.leg.wa.gov/RCW/default.aspx?cite=70.94.5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2.ning.com/topology/rest/1.0/file/get/1485266090?profile=original" TargetMode="External"/><Relationship Id="rId14" Type="http://schemas.openxmlformats.org/officeDocument/2006/relationships/hyperlink" Target="https://app.leg.wa.gov/WAC/default.aspx?cite=468-63-020&amp;pdf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DEB5-3F31-4417-A06C-ADE11D8A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Bastian, Elizabeth</dc:creator>
  <cp:keywords/>
  <dc:description/>
  <cp:lastModifiedBy>Bastian, Elizabeth</cp:lastModifiedBy>
  <cp:revision>20</cp:revision>
  <dcterms:created xsi:type="dcterms:W3CDTF">2020-03-20T18:57:00Z</dcterms:created>
  <dcterms:modified xsi:type="dcterms:W3CDTF">2020-04-08T00:16:00Z</dcterms:modified>
</cp:coreProperties>
</file>